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70FF5" w14:textId="77777777" w:rsidR="000F3091" w:rsidRDefault="00000000">
      <w:pPr>
        <w:spacing w:after="0" w:line="292" w:lineRule="auto"/>
        <w:ind w:left="4133" w:firstLine="6094"/>
      </w:pPr>
      <w:r>
        <w:rPr>
          <w:sz w:val="16"/>
        </w:rPr>
        <w:t xml:space="preserve">別紙4 </w:t>
      </w:r>
      <w:r>
        <w:rPr>
          <w:b/>
          <w:sz w:val="24"/>
          <w:u w:val="single" w:color="000000"/>
        </w:rPr>
        <w:t>財　　産　　目　　録</w:t>
      </w:r>
    </w:p>
    <w:p w14:paraId="6F0C0783" w14:textId="77777777" w:rsidR="000F3091" w:rsidRDefault="00000000">
      <w:pPr>
        <w:pStyle w:val="1"/>
      </w:pPr>
      <w:r>
        <w:t>令和5年3月31日 現在</w:t>
      </w:r>
    </w:p>
    <w:p w14:paraId="3B8920CE" w14:textId="77777777" w:rsidR="000F3091" w:rsidRDefault="00000000">
      <w:pPr>
        <w:spacing w:after="55"/>
        <w:ind w:left="-52" w:right="-53" w:firstLine="0"/>
      </w:pPr>
      <w:r>
        <w:rPr>
          <w:noProof/>
        </w:rPr>
        <w:drawing>
          <wp:inline distT="0" distB="0" distL="0" distR="0" wp14:anchorId="72C4768A" wp14:editId="76046F56">
            <wp:extent cx="6812281" cy="7495033"/>
            <wp:effectExtent l="0" t="0" r="0" b="0"/>
            <wp:docPr id="8346" name="Picture 8346"/>
            <wp:cNvGraphicFramePr/>
            <a:graphic xmlns:a="http://schemas.openxmlformats.org/drawingml/2006/main">
              <a:graphicData uri="http://schemas.openxmlformats.org/drawingml/2006/picture">
                <pic:pic xmlns:pic="http://schemas.openxmlformats.org/drawingml/2006/picture">
                  <pic:nvPicPr>
                    <pic:cNvPr id="8346" name="Picture 8346"/>
                    <pic:cNvPicPr/>
                  </pic:nvPicPr>
                  <pic:blipFill>
                    <a:blip r:embed="rId4"/>
                    <a:stretch>
                      <a:fillRect/>
                    </a:stretch>
                  </pic:blipFill>
                  <pic:spPr>
                    <a:xfrm>
                      <a:off x="0" y="0"/>
                      <a:ext cx="6812281" cy="7495033"/>
                    </a:xfrm>
                    <a:prstGeom prst="rect">
                      <a:avLst/>
                    </a:prstGeom>
                  </pic:spPr>
                </pic:pic>
              </a:graphicData>
            </a:graphic>
          </wp:inline>
        </w:drawing>
      </w:r>
    </w:p>
    <w:p w14:paraId="16BC4E30" w14:textId="77777777" w:rsidR="000F3091" w:rsidRDefault="00000000">
      <w:pPr>
        <w:ind w:left="-5"/>
      </w:pPr>
      <w:r>
        <w:t>・土地、建物が複数ある場合には、科目を拠点区分毎に分けて記載するものとする。</w:t>
      </w:r>
    </w:p>
    <w:p w14:paraId="511048A0" w14:textId="77777777" w:rsidR="000F3091" w:rsidRDefault="00000000">
      <w:pPr>
        <w:ind w:left="-5"/>
      </w:pPr>
      <w:r>
        <w:t>・同一の科目について控除対象財産に該当し得るものと、該当し得ないものが含まれる場合には、分けて記載するものとする。</w:t>
      </w:r>
    </w:p>
    <w:p w14:paraId="78BEFD03" w14:textId="77777777" w:rsidR="000F3091" w:rsidRDefault="00000000">
      <w:pPr>
        <w:ind w:left="-5"/>
      </w:pPr>
      <w:r>
        <w:t>・科目を分けて記載した場合は、小計欄を設けて、「貸借対照表価額」欄と一致させる。</w:t>
      </w:r>
    </w:p>
    <w:p w14:paraId="51FD4297" w14:textId="77777777" w:rsidR="000F3091" w:rsidRDefault="00000000">
      <w:pPr>
        <w:ind w:left="-5"/>
      </w:pPr>
      <w:r>
        <w:t>・「使用目的等」欄には、社会福祉法第55条の2の規定に基づく社会福祉充実残額の算定に必要な控除対象財産の判定を行うため、各資産の使用目的を簡潔に記載</w:t>
      </w:r>
    </w:p>
    <w:p w14:paraId="7BF08746" w14:textId="77777777" w:rsidR="000F3091" w:rsidRDefault="00000000">
      <w:pPr>
        <w:ind w:left="-5"/>
      </w:pPr>
      <w:r>
        <w:t xml:space="preserve">　する。</w:t>
      </w:r>
    </w:p>
    <w:p w14:paraId="55828243" w14:textId="77777777" w:rsidR="000F3091" w:rsidRDefault="00000000">
      <w:pPr>
        <w:ind w:left="-5"/>
      </w:pPr>
      <w:r>
        <w:t xml:space="preserve">　なお、負債については、「使用目的等」欄の記載を要しない。</w:t>
      </w:r>
    </w:p>
    <w:p w14:paraId="0ACC2BAB" w14:textId="77777777" w:rsidR="000F3091" w:rsidRDefault="00000000">
      <w:pPr>
        <w:ind w:left="-5"/>
      </w:pPr>
      <w:r>
        <w:lastRenderedPageBreak/>
        <w:t>・「貸借対照表価額」欄は、「取得価額」欄と「減価償却累計額」欄の差額と同額になることに留意する。</w:t>
      </w:r>
    </w:p>
    <w:p w14:paraId="55B4051A" w14:textId="77777777" w:rsidR="000F3091" w:rsidRDefault="00000000">
      <w:pPr>
        <w:ind w:left="-5"/>
      </w:pPr>
      <w:r>
        <w:t>・建物についてのみ「取得年度」欄を記載する。</w:t>
      </w:r>
    </w:p>
    <w:p w14:paraId="7634A94F" w14:textId="77777777" w:rsidR="000F3091" w:rsidRDefault="00000000">
      <w:pPr>
        <w:ind w:left="-5"/>
      </w:pPr>
      <w:r>
        <w:t>・減価償却資産（有形固定資産に限る）については、「減価償却累計額」欄を記載する。なお、減価償却累計額には、減損損失累計額を含むものとする。</w:t>
      </w:r>
    </w:p>
    <w:p w14:paraId="5D5026FF" w14:textId="77777777" w:rsidR="000F3091" w:rsidRDefault="00000000">
      <w:pPr>
        <w:ind w:left="-5"/>
      </w:pPr>
      <w:r>
        <w:t xml:space="preserve">　また、ソフトウェアについては、取得価額から貸借対照表価額を控除して得た額を「減価償却累計額」欄に記載する。</w:t>
      </w:r>
    </w:p>
    <w:p w14:paraId="66F4E2AB" w14:textId="77777777" w:rsidR="000F3091" w:rsidRDefault="00000000">
      <w:pPr>
        <w:ind w:left="-5"/>
      </w:pPr>
      <w:r>
        <w:t>・車輌運搬具の○○には会社名と車種を記載すること。車輌番号は任意記載とする。</w:t>
      </w:r>
    </w:p>
    <w:p w14:paraId="5BA8B8C0" w14:textId="77777777" w:rsidR="000F3091" w:rsidRDefault="00000000">
      <w:pPr>
        <w:ind w:left="-5"/>
      </w:pPr>
      <w:r>
        <w:t>・預金に関する口座番号は任意記載とする。</w:t>
      </w:r>
    </w:p>
    <w:sectPr w:rsidR="000F3091">
      <w:pgSz w:w="11906" w:h="16838"/>
      <w:pgMar w:top="1440" w:right="397" w:bottom="1440" w:left="8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91"/>
    <w:rsid w:val="000F3091"/>
    <w:rsid w:val="00C76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BA26CA"/>
  <w15:docId w15:val="{02979EA2-F488-4750-AAE6-0E90CBD5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59" w:lineRule="auto"/>
      <w:ind w:left="10" w:hanging="10"/>
    </w:pPr>
    <w:rPr>
      <w:rFonts w:ascii="ＭＳ ゴシック" w:eastAsia="ＭＳ ゴシック" w:hAnsi="ＭＳ ゴシック" w:cs="ＭＳ ゴシック"/>
      <w:color w:val="000000"/>
      <w:sz w:val="14"/>
    </w:rPr>
  </w:style>
  <w:style w:type="paragraph" w:styleId="1">
    <w:name w:val="heading 1"/>
    <w:next w:val="a"/>
    <w:link w:val="10"/>
    <w:uiPriority w:val="9"/>
    <w:qFormat/>
    <w:pPr>
      <w:keepNext/>
      <w:keepLines/>
      <w:spacing w:line="259" w:lineRule="auto"/>
      <w:ind w:left="24"/>
      <w:jc w:val="center"/>
      <w:outlineLvl w:val="0"/>
    </w:pPr>
    <w:rPr>
      <w:rFonts w:ascii="ＭＳ ゴシック" w:eastAsia="ＭＳ ゴシック" w:hAnsi="ＭＳ ゴシック" w:cs="ＭＳ ゴシック"/>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ExcelCreator 2016</dc:title>
  <dc:subject/>
  <dc:creator>Advance Software Corp.</dc:creator>
  <cp:keywords/>
  <cp:lastModifiedBy>荘 野坂の浦</cp:lastModifiedBy>
  <cp:revision>2</cp:revision>
  <dcterms:created xsi:type="dcterms:W3CDTF">2023-10-28T09:20:00Z</dcterms:created>
  <dcterms:modified xsi:type="dcterms:W3CDTF">2023-10-28T09:20:00Z</dcterms:modified>
</cp:coreProperties>
</file>